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FE108B" w:rsidRPr="00FE108B" w:rsidRDefault="00FE108B" w:rsidP="00FE108B">
      <w:pPr>
        <w:ind w:left="142" w:right="119"/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hd w:val="clear" w:color="auto" w:fill="FFFFFF"/>
        </w:rPr>
      </w:pPr>
      <w:r w:rsidRPr="00FE108B">
        <w:rPr>
          <w:rFonts w:asciiTheme="minorHAnsi" w:hAnsiTheme="minorHAnsi" w:cstheme="minorHAnsi"/>
          <w:b/>
          <w:color w:val="984806" w:themeColor="accent6" w:themeShade="80"/>
          <w:sz w:val="28"/>
          <w:shd w:val="clear" w:color="auto" w:fill="FFFFFF"/>
        </w:rPr>
        <w:t>I półrocze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FE108B" w:rsidRPr="00BC02D0" w:rsidTr="00FE108B">
        <w:trPr>
          <w:trHeight w:val="840"/>
          <w:jc w:val="center"/>
        </w:trPr>
        <w:tc>
          <w:tcPr>
            <w:tcW w:w="13745" w:type="dxa"/>
            <w:gridSpan w:val="7"/>
            <w:shd w:val="clear" w:color="auto" w:fill="auto"/>
            <w:vAlign w:val="center"/>
          </w:tcPr>
          <w:p w:rsidR="00FE108B" w:rsidRPr="00FE108B" w:rsidRDefault="00FE108B" w:rsidP="00FE108B">
            <w:pPr>
              <w:ind w:left="142" w:right="119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8"/>
                <w:shd w:val="clear" w:color="auto" w:fill="FFFFFF"/>
              </w:rPr>
            </w:pPr>
            <w:r w:rsidRPr="00FE108B">
              <w:rPr>
                <w:rFonts w:asciiTheme="minorHAnsi" w:hAnsiTheme="minorHAnsi" w:cstheme="minorHAnsi"/>
                <w:b/>
                <w:color w:val="984806" w:themeColor="accent6" w:themeShade="80"/>
                <w:sz w:val="28"/>
                <w:shd w:val="clear" w:color="auto" w:fill="FFFFFF"/>
              </w:rPr>
              <w:t>II PÓŁROCZE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bookmarkStart w:id="0" w:name="_GoBack"/>
        <w:bookmarkEnd w:id="0"/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08B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BC5A"/>
  <w15:docId w15:val="{6F342F94-0B0E-4796-BD8C-511AFFC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3157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Agata Ziemek</cp:lastModifiedBy>
  <cp:revision>2</cp:revision>
  <dcterms:created xsi:type="dcterms:W3CDTF">2022-08-29T16:52:00Z</dcterms:created>
  <dcterms:modified xsi:type="dcterms:W3CDTF">2022-08-29T16:52:00Z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