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A4" w:rsidRDefault="00614776" w:rsidP="003C5BA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WYmagania Ed</w:t>
      </w:r>
      <w:r w:rsidR="003A218C">
        <w:rPr>
          <w:rFonts w:cs="AgendaPl Bold"/>
          <w:b/>
          <w:bCs/>
          <w:caps/>
          <w:color w:val="024DA1"/>
          <w:sz w:val="36"/>
          <w:szCs w:val="36"/>
        </w:rPr>
        <w:t>ukacyjne Język Hiszpańśki klasa 8</w:t>
      </w:r>
    </w:p>
    <w:p w:rsidR="00614776" w:rsidRPr="00614776" w:rsidRDefault="00614776" w:rsidP="00614776">
      <w:pPr>
        <w:pStyle w:val="Akapitzlist"/>
        <w:numPr>
          <w:ilvl w:val="0"/>
          <w:numId w:val="6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półrocze</w:t>
      </w:r>
    </w:p>
    <w:p w:rsidR="003C5BA4" w:rsidRPr="003C5BA4" w:rsidRDefault="003C5BA4" w:rsidP="003C5BA4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C5BA4" w:rsidRPr="003C5BA4" w:rsidTr="003C5BA4">
        <w:trPr>
          <w:trHeight w:val="57"/>
          <w:tblHeader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czytania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zrozumieniem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</w:t>
            </w:r>
            <w:bookmarkStart w:id="0" w:name="_GoBack"/>
            <w:bookmarkEnd w:id="0"/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rozumienia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słuchu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przyczynowo-skutkowych</w:t>
            </w:r>
            <w:proofErr w:type="spellEnd"/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26F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6426F" w:rsidRDefault="0036426F" w:rsidP="0036426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24DA1"/>
                <w:position w:val="-2"/>
                <w:sz w:val="32"/>
                <w:szCs w:val="32"/>
              </w:rPr>
            </w:pPr>
            <w:r>
              <w:rPr>
                <w:rFonts w:cs="AgendaPl RegularCondensed"/>
                <w:b/>
                <w:color w:val="024DA1"/>
                <w:position w:val="-2"/>
                <w:sz w:val="32"/>
                <w:szCs w:val="32"/>
              </w:rPr>
              <w:t>II.</w:t>
            </w:r>
            <w:r w:rsidRPr="0036426F">
              <w:rPr>
                <w:rFonts w:cs="AgendaPl RegularCondensed"/>
                <w:b/>
                <w:color w:val="024DA1"/>
                <w:position w:val="-2"/>
                <w:sz w:val="32"/>
                <w:szCs w:val="32"/>
              </w:rPr>
              <w:t>PÓŁROCZE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24DA1"/>
                <w:position w:val="-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24DA1"/>
                <w:position w:val="-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24DA1"/>
                <w:position w:val="-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mówienia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wskazujące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ograniczonym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wąskim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drobnymi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pisania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uchybie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stylistyczna,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doborem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słabym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niezmieniające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niezniekształcające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5BA4" w:rsidRPr="003C5BA4" w:rsidRDefault="003C5BA4" w:rsidP="003C5BA4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sectPr w:rsidR="003C5BA4" w:rsidRPr="003C5BA4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E2" w:rsidRDefault="000045E2" w:rsidP="00285D6F">
      <w:pPr>
        <w:spacing w:after="0" w:line="240" w:lineRule="auto"/>
      </w:pPr>
      <w:r>
        <w:separator/>
      </w:r>
    </w:p>
  </w:endnote>
  <w:endnote w:type="continuationSeparator" w:id="0">
    <w:p w:rsidR="000045E2" w:rsidRDefault="000045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D2" w:rsidRDefault="007F3AD2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A83A4A" w:rsidRDefault="00A83A4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AA6861" wp14:editId="6F7338C9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E8F5A6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</w:p>
  <w:p w:rsidR="00A83A4A" w:rsidRDefault="00491D3A" w:rsidP="004545DD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2567846" wp14:editId="3A50D5A5">
          <wp:extent cx="6436317" cy="2381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723" cy="23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3A4A" w:rsidRDefault="00A83A4A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D52E0">
      <w:rPr>
        <w:noProof/>
      </w:rPr>
      <w:t>4</w:t>
    </w:r>
    <w:r>
      <w:fldChar w:fldCharType="end"/>
    </w:r>
  </w:p>
  <w:p w:rsidR="00A83A4A" w:rsidRPr="00285D6F" w:rsidRDefault="00A83A4A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E2" w:rsidRDefault="000045E2" w:rsidP="00285D6F">
      <w:pPr>
        <w:spacing w:after="0" w:line="240" w:lineRule="auto"/>
      </w:pPr>
      <w:r>
        <w:separator/>
      </w:r>
    </w:p>
  </w:footnote>
  <w:footnote w:type="continuationSeparator" w:id="0">
    <w:p w:rsidR="000045E2" w:rsidRDefault="000045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4A" w:rsidRDefault="00A83A4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2CD980" wp14:editId="29A0F0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A83A4A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BBC"/>
    <w:multiLevelType w:val="hybridMultilevel"/>
    <w:tmpl w:val="E034D406"/>
    <w:lvl w:ilvl="0" w:tplc="5B704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45E2"/>
    <w:rsid w:val="000223C1"/>
    <w:rsid w:val="000A1379"/>
    <w:rsid w:val="001462E0"/>
    <w:rsid w:val="00245DA5"/>
    <w:rsid w:val="00285D6F"/>
    <w:rsid w:val="002F1910"/>
    <w:rsid w:val="00317434"/>
    <w:rsid w:val="003572A4"/>
    <w:rsid w:val="0036426F"/>
    <w:rsid w:val="003A218C"/>
    <w:rsid w:val="003B56FB"/>
    <w:rsid w:val="003C5BA4"/>
    <w:rsid w:val="00435B7E"/>
    <w:rsid w:val="004545DD"/>
    <w:rsid w:val="00491D3A"/>
    <w:rsid w:val="004F3F07"/>
    <w:rsid w:val="00515D13"/>
    <w:rsid w:val="00602ABB"/>
    <w:rsid w:val="00614776"/>
    <w:rsid w:val="00672759"/>
    <w:rsid w:val="006B5810"/>
    <w:rsid w:val="006B7499"/>
    <w:rsid w:val="007B3CB5"/>
    <w:rsid w:val="007F3AD2"/>
    <w:rsid w:val="00804E2A"/>
    <w:rsid w:val="008648E0"/>
    <w:rsid w:val="008C2636"/>
    <w:rsid w:val="00983221"/>
    <w:rsid w:val="009E0F62"/>
    <w:rsid w:val="00A40C13"/>
    <w:rsid w:val="00A5798A"/>
    <w:rsid w:val="00A83A4A"/>
    <w:rsid w:val="00AA3ACA"/>
    <w:rsid w:val="00B70C6A"/>
    <w:rsid w:val="00BD52E0"/>
    <w:rsid w:val="00CE0B97"/>
    <w:rsid w:val="00D10C22"/>
    <w:rsid w:val="00D17D7F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FA705DB-7F33-442B-A4CD-49BE16C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A125-0553-4AB6-81DA-E968655D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5</cp:revision>
  <dcterms:created xsi:type="dcterms:W3CDTF">2020-10-07T11:19:00Z</dcterms:created>
  <dcterms:modified xsi:type="dcterms:W3CDTF">2020-10-07T11:33:00Z</dcterms:modified>
</cp:coreProperties>
</file>